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2.png" ContentType="image/png"/>
  <Override PartName="/word/media/rId24.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8.png" ContentType="image/png"/>
  <Override PartName="/word/media/rId41.png" ContentType="image/png"/>
  <Override PartName="/word/media/rId44.png" ContentType="image/png"/>
  <Override PartName="/word/media/rId26.png" ContentType="image/png"/>
  <Override PartName="/word/media/rId47.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r>
        <w:t xml:space="preserve"> </w:t>
      </w:r>
      <w:r>
        <w:t xml:space="preserve">(IECA 2009)</w:t>
      </w:r>
      <w:r>
        <w:t xml:space="preserve">.</w:t>
      </w:r>
    </w:p>
    <w:p>
      <w:pPr>
        <w:pStyle w:val="Textodecuerpo"/>
      </w:pPr>
      <w:r>
        <w:drawing>
          <wp:inline>
            <wp:extent cx="4039576" cy="571500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4039576" cy="571500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t xml:space="preserve">EVI standardized anomaly during the period 2000-2016 for northern and southern populations. Error bars show standard error.</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1.png" id="0" name="Picture"/>
                    <pic:cNvPicPr>
                      <a:picLocks noChangeArrowheads="1" noChangeAspect="1"/>
                    </pic:cNvPicPr>
                  </pic:nvPicPr>
                  <pic:blipFill>
                    <a:blip r:embed="rId2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Percentage of pixels showing browning, greenning or no-changes during the 2005 and 2012 drought events according to EVI standardized anomalies.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23-1.png" id="0" name="Picture"/>
                    <pic:cNvPicPr>
                      <a:picLocks noChangeArrowheads="1" noChangeAspect="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green</w:t>
      </w:r>
      <w:r>
        <w:t xml:space="preserve">) and southern ones: low-elevation (CA-Low;</w:t>
      </w:r>
      <w:r>
        <w:t xml:space="preserve"> </w:t>
      </w:r>
      <w:r>
        <w:rPr>
          <w:i/>
        </w:rPr>
        <w:t xml:space="preserve">pink</w:t>
      </w:r>
      <w:r>
        <w:t xml:space="preserve">) and high-elevation (CA-High,</w:t>
      </w:r>
      <w:r>
        <w:t xml:space="preserve"> </w:t>
      </w:r>
      <w:r>
        <w:rPr>
          <w:i/>
        </w:rPr>
        <w:t xml:space="preserve">purple</w:t>
      </w:r>
      <w:r>
        <w:t xml:space="preserve">) sites. Shading areas correspond to standard error of the mean. Number of series are displayed in the upper plot. We only show years replicated with # series &gt; 5. Linear trend since 1975 is shown for southern high-elevation site (CA-High) .AREGLAR ESTO</w:t>
      </w:r>
      <w:r>
        <w:t xml:space="preserve"> </w:t>
      </w:r>
      <w:r>
        <w:t xml:space="preserve">#####</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bai_mean ~ year, data = dfCaH)</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-1229.06  -199.39   -23.58   252.73  1025.78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-42554.042  10750.240  -3.958 0.000301 ***</w:t>
      </w:r>
      <w:r>
        <w:br w:type="textWrapping"/>
      </w:r>
      <w:r>
        <w:rPr>
          <w:rStyle w:val="VerbatimChar"/>
        </w:rPr>
        <w:t xml:space="preserve">## year            22.444      5.387   4.166 0.000161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423.2 on 40 degrees of freedom</w:t>
      </w:r>
      <w:r>
        <w:br w:type="textWrapping"/>
      </w:r>
      <w:r>
        <w:rPr>
          <w:rStyle w:val="VerbatimChar"/>
        </w:rPr>
        <w:t xml:space="preserve">## Multiple R-squared:  0.3026, Adjusted R-squared:  0.2852 </w:t>
      </w:r>
      <w:r>
        <w:br w:type="textWrapping"/>
      </w:r>
      <w:r>
        <w:rPr>
          <w:rStyle w:val="VerbatimChar"/>
        </w:rPr>
        <w:t xml:space="preserve">## F-statistic: 17.36 on 1 and 40 DF,  p-value: 0.0001607</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bai_mean ~ year, data = dfCaL)</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-567.42 -124.86   24.84  128.92  472.78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-18540.319   5288.062  -3.506 0.001138 ** </w:t>
      </w:r>
      <w:r>
        <w:br w:type="textWrapping"/>
      </w:r>
      <w:r>
        <w:rPr>
          <w:rStyle w:val="VerbatimChar"/>
        </w:rPr>
        <w:t xml:space="preserve">## year             9.857      2.650   3.720 0.000612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208.2 on 40 degrees of freedom</w:t>
      </w:r>
      <w:r>
        <w:br w:type="textWrapping"/>
      </w:r>
      <w:r>
        <w:rPr>
          <w:rStyle w:val="VerbatimChar"/>
        </w:rPr>
        <w:t xml:space="preserve">## Multiple R-squared:  0.257,  Adjusted R-squared:  0.2384 </w:t>
      </w:r>
      <w:r>
        <w:br w:type="textWrapping"/>
      </w:r>
      <w:r>
        <w:rPr>
          <w:rStyle w:val="VerbatimChar"/>
        </w:rPr>
        <w:t xml:space="preserve">## F-statistic: 13.84 on 1 and 40 DF,  p-value: 0.0006119</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bai_mean ~ year, data = dfSJ)</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-665.57 -261.09  -80.58  300.42  801.70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-15156.260   9104.477  -1.665    0.104  </w:t>
      </w:r>
      <w:r>
        <w:br w:type="textWrapping"/>
      </w:r>
      <w:r>
        <w:rPr>
          <w:rStyle w:val="VerbatimChar"/>
        </w:rPr>
        <w:t xml:space="preserve">## year             8.086      4.562   1.772    0.084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358.4 on 40 degrees of freedom</w:t>
      </w:r>
      <w:r>
        <w:br w:type="textWrapping"/>
      </w:r>
      <w:r>
        <w:rPr>
          <w:rStyle w:val="VerbatimChar"/>
        </w:rPr>
        <w:t xml:space="preserve">## Multiple R-squared:  0.07281,    Adjusted R-squared:  0.04963 </w:t>
      </w:r>
      <w:r>
        <w:br w:type="textWrapping"/>
      </w:r>
      <w:r>
        <w:rPr>
          <w:rStyle w:val="VerbatimChar"/>
        </w:rPr>
        <w:t xml:space="preserve">## F-statistic: 3.141 on 1 and 40 DF,  p-value: 0.08395</w:t>
      </w:r>
    </w:p>
    <w:p>
      <w:pPr>
        <w:pStyle w:val="FirstParagraph"/>
      </w:pPr>
      <w:r>
        <w:drawing>
          <wp:inline>
            <wp:extent cx="6324600" cy="5059680"/>
            <wp:effectExtent b="0" l="0" r="0" t="0"/>
            <wp:docPr descr="" title="" id="1" name="Picture"/>
            <a:graphic>
              <a:graphicData uri="http://schemas.openxmlformats.org/drawingml/2006/picture">
                <pic:pic>
                  <pic:nvPicPr>
                    <pic:cNvPr descr="0_figures_files/figure-docx/unnamed-chunk-28-1.png" id="0" name="Picture"/>
                    <pic:cNvPicPr>
                      <a:picLocks noChangeArrowheads="1" noChangeAspect="1"/>
                    </pic:cNvPicPr>
                  </pic:nvPicPr>
                  <pic:blipFill>
                    <a:blip r:embed="rId26"/>
                    <a:stretch>
                      <a:fillRect/>
                    </a:stretch>
                  </pic:blipFill>
                  <pic:spPr bwMode="auto">
                    <a:xfrm>
                      <a:off x="0" y="0"/>
                      <a:ext cx="6324600" cy="5059680"/>
                    </a:xfrm>
                    <a:prstGeom prst="rect">
                      <a:avLst/>
                    </a:prstGeom>
                    <a:noFill/>
                    <a:ln w="9525">
                      <a:noFill/>
                      <a:headEnd/>
                      <a:tailEnd/>
                    </a:ln>
                  </pic:spPr>
                </pic:pic>
              </a:graphicData>
            </a:graphic>
          </wp:inline>
        </w:drawing>
      </w:r>
      <w:r>
        <w:t xml:space="preserve"> </w:t>
      </w:r>
      <w:r>
        <w:t xml:space="preserve">#####</w:t>
      </w:r>
    </w:p>
    <w:p>
      <w:pPr>
        <w:pStyle w:val="Textodecuerpo"/>
      </w:pPr>
      <w:r>
        <w:rPr>
          <w:b/>
        </w:rPr>
        <w:t xml:space="preserve">Figure 5.</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1.png" id="0" name="Picture"/>
                    <pic:cNvPicPr>
                      <a:picLocks noChangeArrowheads="1" noChangeAspect="1"/>
                    </pic:cNvPicPr>
                  </pic:nvPicPr>
                  <pic:blipFill>
                    <a:blip r:embed="rId27"/>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8" w:name="section-3"/>
      <w:bookmarkEnd w:id="28"/>
    </w:p>
    <w:p>
      <w:pPr>
        <w:pStyle w:val="FirstParagraph"/>
      </w:pPr>
      <w:r>
        <w:rPr>
          <w:b/>
        </w:rPr>
        <w:t xml:space="preserve">Figure 6.</w:t>
      </w:r>
      <w:r>
        <w:t xml:space="preserve"> </w:t>
      </w:r>
      <w:r>
        <w:t xml:space="preserve">Resilience metrics of the tree-growth for the most severe drought events (as from Appendix S3).</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w:t>
      </w:r>
      <w:r>
        <w:t xml:space="preserve">Resilience (</w:t>
      </w:r>
      <w:r>
        <w:rPr>
          <w:i/>
        </w:rPr>
        <w:t xml:space="preserve">Rs</w:t>
      </w:r>
      <w:r>
        <w:t xml:space="preserve">). Points indicate average of resilience metrics for all populations. Error bar corresponds standard error. Resilience metrics were computed for each population (sample depth &gt; 10) and drought event.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36-1.png" id="0" name="Picture"/>
                    <pic:cNvPicPr>
                      <a:picLocks noChangeArrowheads="1" noChangeAspect="1"/>
                    </pic:cNvPicPr>
                  </pic:nvPicPr>
                  <pic:blipFill>
                    <a:blip r:embed="rId29"/>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30" w:name="section-4"/>
      <w:bookmarkEnd w:id="30"/>
    </w:p>
    <w:p>
      <w:pPr>
        <w:pStyle w:val="FirstParagraph"/>
      </w:pPr>
      <w:r>
        <w:rPr>
          <w:b/>
        </w:rPr>
        <w:t xml:space="preserve">Figure 7.</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radial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northern population (San Juan, SJ;</w:t>
      </w:r>
      <w:r>
        <w:t xml:space="preserve"> </w:t>
      </w:r>
      <w:r>
        <w:rPr>
          <w:i/>
        </w:rPr>
        <w:t xml:space="preserve">black triangle</w:t>
      </w:r>
      <w:r>
        <w:t xml:space="preserve">) with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6324600" cy="8221980"/>
            <wp:effectExtent b="0" l="0" r="0" t="0"/>
            <wp:docPr descr="" title="" id="1" name="Picture"/>
            <a:graphic>
              <a:graphicData uri="http://schemas.openxmlformats.org/drawingml/2006/picture">
                <pic:pic>
                  <pic:nvPicPr>
                    <pic:cNvPr descr="0_figures_files/figure-docx/plot_out-41-1.png" id="0" name="Picture"/>
                    <pic:cNvPicPr>
                      <a:picLocks noChangeArrowheads="1" noChangeAspect="1"/>
                    </pic:cNvPicPr>
                  </pic:nvPicPr>
                  <pic:blipFill>
                    <a:blip r:embed="rId31"/>
                    <a:stretch>
                      <a:fillRect/>
                    </a:stretch>
                  </pic:blipFill>
                  <pic:spPr bwMode="auto">
                    <a:xfrm>
                      <a:off x="0" y="0"/>
                      <a:ext cx="6324600" cy="8221980"/>
                    </a:xfrm>
                    <a:prstGeom prst="rect">
                      <a:avLst/>
                    </a:prstGeom>
                    <a:noFill/>
                    <a:ln w="9525">
                      <a:noFill/>
                      <a:headEnd/>
                      <a:tailEnd/>
                    </a:ln>
                  </pic:spPr>
                </pic:pic>
              </a:graphicData>
            </a:graphic>
          </wp:inline>
        </w:drawing>
      </w:r>
    </w:p>
    <w:p>
      <w:pPr>
        <w:pStyle w:val="Ttulo5"/>
      </w:pPr>
      <w:bookmarkStart w:id="32" w:name="section-5"/>
      <w:bookmarkEnd w:id="32"/>
    </w:p>
    <w:p>
      <w:pPr>
        <w:pStyle w:val="FirstParagraph"/>
      </w:pPr>
      <w:r>
        <w:rPr>
          <w:b/>
        </w:rPr>
        <w:t xml:space="preserve">Figure 8.</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8854440"/>
            <wp:effectExtent b="0" l="0" r="0" t="0"/>
            <wp:docPr descr="" title="" id="1" name="Picture"/>
            <a:graphic>
              <a:graphicData uri="http://schemas.openxmlformats.org/drawingml/2006/picture">
                <pic:pic>
                  <pic:nvPicPr>
                    <pic:cNvPr descr="0_figures_files/figure-docx/plot_out-45-1.png" id="0" name="Picture"/>
                    <pic:cNvPicPr>
                      <a:picLocks noChangeArrowheads="1" noChangeAspect="1"/>
                    </pic:cNvPicPr>
                  </pic:nvPicPr>
                  <pic:blipFill>
                    <a:blip r:embed="rId33"/>
                    <a:stretch>
                      <a:fillRect/>
                    </a:stretch>
                  </pic:blipFill>
                  <pic:spPr bwMode="auto">
                    <a:xfrm>
                      <a:off x="0" y="0"/>
                      <a:ext cx="6324600" cy="8854440"/>
                    </a:xfrm>
                    <a:prstGeom prst="rect">
                      <a:avLst/>
                    </a:prstGeom>
                    <a:noFill/>
                    <a:ln w="9525">
                      <a:noFill/>
                      <a:headEnd/>
                      <a:tailEnd/>
                    </a:ln>
                  </pic:spPr>
                </pic:pic>
              </a:graphicData>
            </a:graphic>
          </wp:inline>
        </w:drawing>
      </w:r>
    </w:p>
    <w:p>
      <w:pPr>
        <w:pStyle w:val="Ttulo5"/>
      </w:pPr>
      <w:bookmarkStart w:id="34" w:name="section-6"/>
      <w:bookmarkEnd w:id="34"/>
    </w:p>
    <w:p>
      <w:pPr>
        <w:pStyle w:val="FirstParagraph"/>
      </w:pPr>
      <w:r>
        <w:rPr>
          <w:b/>
        </w:rPr>
        <w:t xml:space="preserve">Appendix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all period.</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6324600" cy="3614057"/>
            <wp:effectExtent b="0" l="0" r="0" t="0"/>
            <wp:docPr descr="" title="" id="1" name="Picture"/>
            <a:graphic>
              <a:graphicData uri="http://schemas.openxmlformats.org/drawingml/2006/picture">
                <pic:pic>
                  <pic:nvPicPr>
                    <pic:cNvPr descr="0_figures_files/figure-docx/plot_out-50-1.png" id="0" name="Picture"/>
                    <pic:cNvPicPr>
                      <a:picLocks noChangeArrowheads="1" noChangeAspect="1"/>
                    </pic:cNvPicPr>
                  </pic:nvPicPr>
                  <pic:blipFill>
                    <a:blip r:embed="rId35"/>
                    <a:stretch>
                      <a:fillRect/>
                    </a:stretch>
                  </pic:blipFill>
                  <pic:spPr bwMode="auto">
                    <a:xfrm>
                      <a:off x="0" y="0"/>
                      <a:ext cx="6324600" cy="3614057"/>
                    </a:xfrm>
                    <a:prstGeom prst="rect">
                      <a:avLst/>
                    </a:prstGeom>
                    <a:noFill/>
                    <a:ln w="9525">
                      <a:noFill/>
                      <a:headEnd/>
                      <a:tailEnd/>
                    </a:ln>
                  </pic:spPr>
                </pic:pic>
              </a:graphicData>
            </a:graphic>
          </wp:inline>
        </w:drawing>
      </w:r>
    </w:p>
    <w:p>
      <w:pPr>
        <w:pStyle w:val="Ttulo5"/>
      </w:pPr>
      <w:bookmarkStart w:id="36" w:name="section-7"/>
      <w:bookmarkEnd w:id="36"/>
    </w:p>
    <w:p>
      <w:pPr>
        <w:pStyle w:val="FirstParagraph"/>
      </w:pPr>
      <w:r>
        <w:rPr>
          <w:b/>
        </w:rPr>
        <w:t xml:space="preserve">Appendix S2</w:t>
      </w:r>
      <w:r>
        <w:t xml:space="preserve">. Drought severity in the Sierra Nevada for the 1950-2016 period based on the Standardised Precipitation-Evapotranspiration Index (SPEI). Data from Global SPEI database (</w:t>
      </w:r>
      <w:hyperlink r:id="rId37">
        <w:r>
          <w:rPr>
            <w:rStyle w:val="Hipervnculo"/>
          </w:rPr>
          <w:t xml:space="preserve">http://spei.csic.es/database.html</w:t>
        </w:r>
      </w:hyperlink>
      <w:r>
        <w:t xml:space="preserve">). We obtanied the SPEI data for a 12 month scale and for all 0.5º grid cells covering Sierra Nevada.</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54-1.png" id="0" name="Picture"/>
                    <pic:cNvPicPr>
                      <a:picLocks noChangeArrowheads="1" noChangeAspect="1"/>
                    </pic:cNvPicPr>
                  </pic:nvPicPr>
                  <pic:blipFill>
                    <a:blip r:embed="rId38"/>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39" w:name="section-8"/>
      <w:bookmarkEnd w:id="39"/>
    </w:p>
    <w:p>
      <w:pPr>
        <w:pStyle w:val="Ttulo5"/>
      </w:pPr>
      <w:bookmarkStart w:id="40" w:name="section-9"/>
      <w:bookmarkEnd w:id="40"/>
    </w:p>
    <w:p>
      <w:pPr>
        <w:pStyle w:val="FirstParagraph"/>
      </w:pPr>
      <w:r>
        <w:rPr>
          <w:b/>
        </w:rPr>
        <w:t xml:space="preserve">Figure S3.</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(see Table S3).</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58-1.png" id="0" name="Picture"/>
                    <pic:cNvPicPr>
                      <a:picLocks noChangeArrowheads="1" noChangeAspect="1"/>
                    </pic:cNvPicPr>
                  </pic:nvPicPr>
                  <pic:blipFill>
                    <a:blip r:embed="rId41"/>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2" w:name="section-10"/>
      <w:bookmarkEnd w:id="42"/>
    </w:p>
    <w:p>
      <w:pPr>
        <w:pStyle w:val="Ttulo5"/>
      </w:pPr>
      <w:bookmarkStart w:id="43" w:name="section-11"/>
      <w:bookmarkEnd w:id="43"/>
    </w:p>
    <w:p>
      <w:pPr>
        <w:pStyle w:val="FirstParagraph"/>
      </w:pPr>
      <w:r>
        <w:rPr>
          <w:b/>
        </w:rPr>
        <w:t xml:space="preserve">Figure S4.</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2-1.png" id="0" name="Picture"/>
                    <pic:cNvPicPr>
                      <a:picLocks noChangeArrowheads="1" noChangeAspect="1"/>
                    </pic:cNvPicPr>
                  </pic:nvPicPr>
                  <pic:blipFill>
                    <a:blip r:embed="rId44"/>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5" w:name="section-12"/>
      <w:bookmarkEnd w:id="45"/>
    </w:p>
    <w:p>
      <w:pPr>
        <w:pStyle w:val="Ttulo5"/>
      </w:pPr>
      <w:bookmarkStart w:id="46" w:name="section-13"/>
      <w:bookmarkEnd w:id="46"/>
    </w:p>
    <w:p>
      <w:pPr>
        <w:pStyle w:val="FirstParagraph"/>
      </w:pPr>
      <w:r>
        <w:rPr>
          <w:b/>
        </w:rPr>
        <w:t xml:space="preserve">Appendix S5.</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6324600" cy="5059680"/>
            <wp:effectExtent b="0" l="0" r="0" t="0"/>
            <wp:docPr descr="" title="" id="1" name="Picture"/>
            <a:graphic>
              <a:graphicData uri="http://schemas.openxmlformats.org/drawingml/2006/picture">
                <pic:pic>
                  <pic:nvPicPr>
                    <pic:cNvPr descr="0_figures_files/figure-docx/unnamed-chunk-66-1.png" id="0" name="Picture"/>
                    <pic:cNvPicPr>
                      <a:picLocks noChangeArrowheads="1" noChangeAspect="1"/>
                    </pic:cNvPicPr>
                  </pic:nvPicPr>
                  <pic:blipFill>
                    <a:blip r:embed="rId47"/>
                    <a:stretch>
                      <a:fillRect/>
                    </a:stretch>
                  </pic:blipFill>
                  <pic:spPr bwMode="auto">
                    <a:xfrm>
                      <a:off x="0" y="0"/>
                      <a:ext cx="6324600" cy="5059680"/>
                    </a:xfrm>
                    <a:prstGeom prst="rect">
                      <a:avLst/>
                    </a:prstGeom>
                    <a:noFill/>
                    <a:ln w="9525">
                      <a:noFill/>
                      <a:headEnd/>
                      <a:tailEnd/>
                    </a:ln>
                  </pic:spPr>
                </pic:pic>
              </a:graphicData>
            </a:graphic>
          </wp:inline>
        </w:drawing>
      </w:r>
    </w:p>
    <w:p>
      <w:pPr>
        <w:pStyle w:val="Ttulo5"/>
      </w:pPr>
      <w:bookmarkStart w:id="48" w:name="section-14"/>
      <w:bookmarkEnd w:id="48"/>
    </w:p>
    <w:p>
      <w:pPr>
        <w:pStyle w:val="FirstParagraph"/>
      </w:pPr>
      <w:r>
        <w:rPr>
          <w:b/>
        </w:rPr>
        <w:t xml:space="preserve">Figure S7.</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 </w:t>
      </w:r>
      <w:r>
        <w:t xml:space="preserve">(Canty and Ripley 2016)</w:t>
      </w:r>
      <w:r>
        <w:t xml:space="preserve">.</w:t>
      </w:r>
    </w:p>
    <w:p>
      <w:pPr>
        <w:pStyle w:val="Textodecuerpo"/>
      </w:pPr>
      <w:r>
        <w:drawing>
          <wp:inline>
            <wp:extent cx="6324600" cy="5059680"/>
            <wp:effectExtent b="0" l="0" r="0" t="0"/>
            <wp:docPr descr="" title="" id="1" name="Picture"/>
            <a:graphic>
              <a:graphicData uri="http://schemas.openxmlformats.org/drawingml/2006/picture">
                <pic:pic>
                  <pic:nvPicPr>
                    <pic:cNvPr descr="0_figures_files/figure-docx/unnamed-chunk-70-1.png" id="0" name="Picture"/>
                    <pic:cNvPicPr>
                      <a:picLocks noChangeArrowheads="1" noChangeAspect="1"/>
                    </pic:cNvPicPr>
                  </pic:nvPicPr>
                  <pic:blipFill>
                    <a:blip r:embed="rId49"/>
                    <a:stretch>
                      <a:fillRect/>
                    </a:stretch>
                  </pic:blipFill>
                  <pic:spPr bwMode="auto">
                    <a:xfrm>
                      <a:off x="0" y="0"/>
                      <a:ext cx="6324600" cy="5059680"/>
                    </a:xfrm>
                    <a:prstGeom prst="rect">
                      <a:avLst/>
                    </a:prstGeom>
                    <a:noFill/>
                    <a:ln w="9525">
                      <a:noFill/>
                      <a:headEnd/>
                      <a:tailEnd/>
                    </a:ln>
                  </pic:spPr>
                </pic:pic>
              </a:graphicData>
            </a:graphic>
          </wp:inline>
        </w:drawing>
      </w:r>
    </w:p>
    <w:bookmarkStart w:id="54" w:name="refs"/>
    <w:bookmarkStart w:id="50" w:name="ref-Canty2016"/>
    <w:p>
      <w:pPr>
        <w:pStyle w:val="Bibliografa"/>
      </w:pPr>
      <w:r>
        <w:t xml:space="preserve">Canty, A., and B. D. Ripley. 2016. Boot: Bootstrap r (s-plus) functions.</w:t>
      </w:r>
    </w:p>
    <w:bookmarkEnd w:id="50"/>
    <w:bookmarkStart w:id="51" w:name="ref-IECA2009"/>
    <w:p>
      <w:pPr>
        <w:pStyle w:val="Bibliografa"/>
      </w:pPr>
      <w:r>
        <w:t xml:space="preserve">IECA, I. de E. y C. de A. 2009. Digital colour orthophotograph of andalusia 2008-2009. Sevilla. Regional Government of Andalusia.</w:t>
      </w:r>
    </w:p>
    <w:bookmarkEnd w:id="51"/>
    <w:bookmarkStart w:id="52" w:name="ref-Nowacki1997"/>
    <w:p>
      <w:pPr>
        <w:pStyle w:val="Bibliografa"/>
      </w:pPr>
      <w:r>
        <w:t xml:space="preserve">Nowacki, G. J., and M. D. Abrams. 1997. Radial-growth averaging criteria for reconstructing disturbance histories from presettlement-origing oaks. Ecological Monographs 67:225–249.</w:t>
      </w:r>
    </w:p>
    <w:bookmarkEnd w:id="52"/>
    <w:bookmarkStart w:id="53"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53"/>
    <w:bookmarkEnd w:id="54"/>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37"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7"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2018-11-23T15:09:05Z</dcterms:created>
  <dcterms:modified xsi:type="dcterms:W3CDTF">2018-11-23T15:09:05Z</dcterms:modified>
</cp:coreProperties>
</file>

<file path=docProps/custom.xml><?xml version="1.0" encoding="utf-8"?>
<Properties xmlns="http://schemas.openxmlformats.org/officeDocument/2006/custom-properties" xmlns:vt="http://schemas.openxmlformats.org/officeDocument/2006/docPropsVTypes"/>
</file>